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media/image2.png" ContentType="image/pn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Verdana" w:hAnsi="Verdana" w:eastAsia="Times New Roman" w:cs="Arial"/>
          <w:b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br/>
        <w:t>ANEXO III</w:t>
        <w:br/>
        <w:t>MODELO DE PROPOSTA</w:t>
        <w:br/>
        <w:t>AVISO DE DISPENSA FÍSICA Nº 005/2024.</w:t>
      </w:r>
    </w:p>
    <w:p>
      <w:pPr>
        <w:pStyle w:val="Normal"/>
        <w:rPr>
          <w:rFonts w:ascii="Verdana" w:hAnsi="Verdana" w:eastAsia="Times New Roman" w:cs="Arial"/>
          <w:b/>
          <w:b/>
          <w:bCs/>
          <w:sz w:val="21"/>
          <w:szCs w:val="21"/>
          <w:lang w:eastAsia="pt-BR"/>
        </w:rPr>
      </w:pPr>
      <w:r>
        <w:rPr>
          <w:rFonts w:eastAsia="Times New Roman" w:cs="Arial" w:ascii="Verdana" w:hAnsi="Verdana"/>
          <w:b/>
          <w:bCs/>
          <w:sz w:val="21"/>
          <w:szCs w:val="21"/>
          <w:lang w:eastAsia="pt-BR"/>
        </w:rPr>
      </w:r>
    </w:p>
    <w:p>
      <w:pPr>
        <w:pStyle w:val="Normal"/>
        <w:snapToGrid w:val="false"/>
        <w:spacing w:before="0" w:after="240"/>
        <w:ind w:right="-30" w:hanging="0"/>
        <w:jc w:val="both"/>
        <w:rPr>
          <w:rFonts w:eastAsia="Times New Roman" w:cs="Arial"/>
          <w:b/>
          <w:b/>
          <w:color w:val="000000"/>
          <w:lang w:eastAsia="pt-BR"/>
        </w:rPr>
      </w:pPr>
      <w:r>
        <w:rPr>
          <w:rFonts w:eastAsia="Times New Roman" w:cs="Arial" w:ascii="Verdana" w:hAnsi="Verdana"/>
          <w:b/>
          <w:color w:val="000000"/>
          <w:sz w:val="21"/>
          <w:szCs w:val="21"/>
          <w:lang w:eastAsia="pt-BR"/>
        </w:rPr>
        <w:t xml:space="preserve">Ao Instituto de Previdência de São Gabriel da Palha </w:t>
      </w:r>
    </w:p>
    <w:p>
      <w:pPr>
        <w:pStyle w:val="AvisoClusulaPrincipal"/>
        <w:keepNext w:val="false"/>
        <w:keepLines w:val="false"/>
        <w:widowControl w:val="false"/>
        <w:spacing w:lineRule="auto" w:line="276" w:before="0" w:after="0"/>
        <w:rPr>
          <w:rFonts w:ascii="Verdana" w:hAnsi="Verdana"/>
          <w:sz w:val="21"/>
          <w:szCs w:val="21"/>
        </w:rPr>
      </w:pPr>
      <w:r>
        <w:rPr>
          <w:rFonts w:ascii="Verdana" w:hAnsi="Verdana"/>
          <w:b w:val="false"/>
          <w:sz w:val="21"/>
          <w:szCs w:val="21"/>
        </w:rPr>
        <w:t xml:space="preserve">Apresento a proposta de preço referente a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1"/>
          <w:szCs w:val="21"/>
        </w:rPr>
        <w:t>Contratação de empresa especializada para a prestação de serviços de Assessoria e Consultoria de Investimentos no acompanhamento da Carteira de Investimentos, com o objetivo do cumprimento da Meta Atuarial e do Plano Anual de Investimentos – PAI, conforme exigência da Resolução CMN 4.963/2021 e atualizações, em atendimento às necessidades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3"/>
          <w:szCs w:val="23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1"/>
          <w:szCs w:val="21"/>
        </w:rPr>
        <w:t>do Regime Próprio de Previdência Social dos servidores do Município de São Gabriel da Palha - ES, administrado pelo Instituto de Previdência do Município de São Gabriel da Palha - SGP-PREV</w:t>
      </w:r>
      <w:r>
        <w:rPr>
          <w:rFonts w:cs="Verdana" w:ascii="Verdana" w:hAnsi="Verdana"/>
          <w:b w:val="false"/>
          <w:bCs/>
          <w:sz w:val="21"/>
          <w:szCs w:val="21"/>
        </w:rPr>
        <w:t>,</w:t>
      </w:r>
      <w:r>
        <w:rPr>
          <w:rFonts w:ascii="Verdana" w:hAnsi="Verdana"/>
          <w:b w:val="false"/>
          <w:sz w:val="21"/>
          <w:szCs w:val="21"/>
        </w:rPr>
        <w:t xml:space="preserve"> conforme condições, quantidades e exigências estabelecidas no Aviso de Contratação Direta e seus anexos.</w:t>
      </w:r>
    </w:p>
    <w:p>
      <w:pPr>
        <w:pStyle w:val="AvisoClusulaPrincipal"/>
        <w:widowControl w:val="false"/>
        <w:spacing w:lineRule="auto" w:line="276" w:before="0" w:after="0"/>
        <w:rPr>
          <w:b w:val="false"/>
          <w:b w:val="false"/>
        </w:rPr>
      </w:pPr>
      <w:r>
        <w:rPr>
          <w:b w:val="false"/>
        </w:rPr>
      </w:r>
    </w:p>
    <w:tbl>
      <w:tblPr>
        <w:tblStyle w:val="3"/>
        <w:tblW w:w="9990" w:type="dxa"/>
        <w:jc w:val="left"/>
        <w:tblInd w:w="-199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70"/>
        <w:gridCol w:w="4364"/>
        <w:gridCol w:w="1306"/>
        <w:gridCol w:w="1020"/>
        <w:gridCol w:w="1246"/>
        <w:gridCol w:w="1183"/>
      </w:tblGrid>
      <w:tr>
        <w:trPr>
          <w:trHeight w:val="840" w:hRule="atLeast"/>
        </w:trPr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21"/>
                <w:szCs w:val="21"/>
              </w:rPr>
              <w:t>Item</w:t>
            </w:r>
          </w:p>
        </w:tc>
        <w:tc>
          <w:tcPr>
            <w:tcW w:w="4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b/>
                <w:sz w:val="21"/>
                <w:szCs w:val="21"/>
              </w:rPr>
              <w:t>DESCRIÇÃO/</w:t>
            </w:r>
            <w:r>
              <w:rPr>
                <w:rFonts w:eastAsia="Times New Roman" w:cs="Times New Roman" w:ascii="Verdana" w:hAnsi="Verdana"/>
                <w:b/>
                <w:sz w:val="21"/>
                <w:szCs w:val="21"/>
                <w:lang w:val="pt-BR"/>
              </w:rPr>
              <w:t xml:space="preserve"> </w:t>
            </w:r>
            <w:r>
              <w:rPr>
                <w:rFonts w:eastAsia="Times New Roman" w:cs="Times New Roman" w:ascii="Verdana" w:hAnsi="Verdana"/>
                <w:b/>
                <w:sz w:val="21"/>
                <w:szCs w:val="21"/>
              </w:rPr>
              <w:t>ESPECIFICAÇÃO</w:t>
            </w:r>
          </w:p>
        </w:tc>
        <w:tc>
          <w:tcPr>
            <w:tcW w:w="13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 w:ascii="Verdana" w:hAnsi="Verdana"/>
                <w:b/>
                <w:sz w:val="21"/>
                <w:szCs w:val="21"/>
              </w:rPr>
              <w:t>UNID DE MEDIDA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0" w:after="160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 w:ascii="Verdana" w:hAnsi="Verdana"/>
                <w:b/>
                <w:sz w:val="21"/>
                <w:szCs w:val="21"/>
              </w:rPr>
              <w:t>QUANT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0" w:after="160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 w:ascii="Verdana" w:hAnsi="Verdana"/>
                <w:b/>
                <w:sz w:val="21"/>
                <w:szCs w:val="21"/>
              </w:rPr>
              <w:t>R$ Unitário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0" w:after="160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 w:ascii="Verdana" w:hAnsi="Verdana"/>
                <w:b/>
                <w:sz w:val="21"/>
                <w:szCs w:val="21"/>
              </w:rPr>
              <w:t>R$ Total</w:t>
            </w:r>
          </w:p>
        </w:tc>
      </w:tr>
      <w:tr>
        <w:trPr>
          <w:trHeight w:val="1187" w:hRule="atLeast"/>
        </w:trPr>
        <w:tc>
          <w:tcPr>
            <w:tcW w:w="8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  <w:t>01</w:t>
            </w:r>
          </w:p>
        </w:tc>
        <w:tc>
          <w:tcPr>
            <w:tcW w:w="4364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ELABORAÇÃO DO PLANO ANUAL DE INVESTIMENTOS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Conforme exige a Resolução CMN 4.963/2021. Preenchimento via CADPREVWEB;</w:t>
            </w:r>
          </w:p>
        </w:tc>
        <w:tc>
          <w:tcPr>
            <w:tcW w:w="1306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</w:tr>
      <w:tr>
        <w:trPr>
          <w:trHeight w:val="1187" w:hRule="atLeast"/>
        </w:trPr>
        <w:tc>
          <w:tcPr>
            <w:tcW w:w="8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  <w:t>02</w:t>
            </w:r>
          </w:p>
        </w:tc>
        <w:tc>
          <w:tcPr>
            <w:tcW w:w="4364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rFonts w:ascii="Verdana" w:hAnsi="Verdana"/>
                <w:b w:val="false"/>
                <w:bCs w:val="false"/>
                <w:sz w:val="21"/>
                <w:szCs w:val="21"/>
              </w:rPr>
              <w:t>RELATÓRIO COMPLETO ANUAL</w:t>
            </w:r>
          </w:p>
          <w:p>
            <w:pPr>
              <w:pStyle w:val="Normal"/>
              <w:widowControl w:val="false"/>
              <w:spacing w:lineRule="auto" w:line="276" w:before="0" w:after="0"/>
              <w:jc w:val="left"/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0" w:after="135"/>
              <w:jc w:val="both"/>
              <w:rPr>
                <w:rFonts w:eastAsia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lang w:eastAsia="pt-BR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  <w:lang w:eastAsia="pt-BR"/>
              </w:rPr>
              <w:t>Conforme exigido pela Portaria 1.467/2022 e no Balanço Anual, da situação financeira da carteira de investimentos, analisando o cumprimento da Meta Atuarial e a manutenção do poder de compra dos recursos financeiros;</w:t>
            </w:r>
          </w:p>
        </w:tc>
        <w:tc>
          <w:tcPr>
            <w:tcW w:w="1306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</w:tr>
      <w:tr>
        <w:trPr>
          <w:trHeight w:val="1187" w:hRule="atLeast"/>
        </w:trPr>
        <w:tc>
          <w:tcPr>
            <w:tcW w:w="8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  <w:t>03</w:t>
            </w:r>
          </w:p>
        </w:tc>
        <w:tc>
          <w:tcPr>
            <w:tcW w:w="4364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DEMONSTRATIVO ANALÍTICO DOS INVESTIMENTOS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Exigidos no Balanço Anual pela IN nº 68/2020 do TCE/ES, conforme exigência da portaria MTP 1.467/2022;</w:t>
            </w:r>
          </w:p>
        </w:tc>
        <w:tc>
          <w:tcPr>
            <w:tcW w:w="1306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</w:tr>
      <w:tr>
        <w:trPr>
          <w:trHeight w:val="1187" w:hRule="atLeast"/>
        </w:trPr>
        <w:tc>
          <w:tcPr>
            <w:tcW w:w="8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  <w:t>04</w:t>
            </w:r>
          </w:p>
        </w:tc>
        <w:tc>
          <w:tcPr>
            <w:tcW w:w="4364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NOTAS EXPLICATIVAS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Sobre os fundos de investimentos, exigidos no Balanço Anual pelo TCE-ES, sobre as Demonstrações Financeiras contendo, dentre outros: a avaliação da situação patrimonial e a avaliação e contabilização dos investimentos; os critérios utilizados para constituições de provisões, depreciações, amortizações e reavaliações, com indicação dos efeitos no patrimônio do RPPS;</w:t>
            </w:r>
          </w:p>
        </w:tc>
        <w:tc>
          <w:tcPr>
            <w:tcW w:w="1306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</w:tr>
      <w:tr>
        <w:trPr>
          <w:trHeight w:val="1187" w:hRule="atLeast"/>
        </w:trPr>
        <w:tc>
          <w:tcPr>
            <w:tcW w:w="8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  <w:t>05</w:t>
            </w:r>
          </w:p>
        </w:tc>
        <w:tc>
          <w:tcPr>
            <w:tcW w:w="4364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RELATÓRIOS SEMESTRAIS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Dos Investimentos, conforme exigido pela Portaria 1.467/2022, detalhando a rentabilidade e os riscos das diversas modalidades de operações realizadas pelo RPPS com título, valores mobiliários e demais ativos alocados nos segmentos de renda fixa, renda variável e imóveis;</w:t>
            </w:r>
          </w:p>
        </w:tc>
        <w:tc>
          <w:tcPr>
            <w:tcW w:w="1306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</w:tr>
      <w:tr>
        <w:trPr>
          <w:trHeight w:val="1187" w:hRule="atLeast"/>
        </w:trPr>
        <w:tc>
          <w:tcPr>
            <w:tcW w:w="8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  <w:t>06</w:t>
            </w:r>
          </w:p>
        </w:tc>
        <w:tc>
          <w:tcPr>
            <w:tcW w:w="4364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RELATÓRIOS TRIMESTRAIS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Dos Investimentos conforme exigido pela Portaria 1.467/2022 e nos Balancetes de Março, Junho, Setembro e Dezembro, pela IN nº 68/2020 do TCE-ES, detalhando a rentabilidade e os riscos das diversas modalidades de operações realizadas pelo RPPS com título, valores mobiliários e demais ativos alocados nos segmentos de renda fixa, renda variável e imóveis;</w:t>
            </w:r>
          </w:p>
        </w:tc>
        <w:tc>
          <w:tcPr>
            <w:tcW w:w="1306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</w:tr>
      <w:tr>
        <w:trPr>
          <w:trHeight w:val="1187" w:hRule="atLeast"/>
        </w:trPr>
        <w:tc>
          <w:tcPr>
            <w:tcW w:w="8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  <w:t>07</w:t>
            </w:r>
          </w:p>
        </w:tc>
        <w:tc>
          <w:tcPr>
            <w:tcW w:w="4364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RELATÓRIOS MENSAIS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Dos Investimentos conforme exigido pela Portaria 1.467/2022 e pela IN nº 68/2020 do TCE-ES, analisando as aplicações da Carteira de Investimento do RPPS, sua rentabilidade, o enquadramento dos fundos e sugerindo novas aplicações, caso as pertencentes pelo Instituto não estejam atendendo a necessidade do cumprimento da Meta Atuarial;</w:t>
            </w:r>
          </w:p>
        </w:tc>
        <w:tc>
          <w:tcPr>
            <w:tcW w:w="1306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</w:tr>
      <w:tr>
        <w:trPr>
          <w:trHeight w:val="1187" w:hRule="atLeast"/>
        </w:trPr>
        <w:tc>
          <w:tcPr>
            <w:tcW w:w="8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  <w:t>08</w:t>
            </w:r>
          </w:p>
        </w:tc>
        <w:tc>
          <w:tcPr>
            <w:tcW w:w="4364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AUXÍLIO NO PREENCHIMENTO DOS MODELOS DE CREDENCIAMENTO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Auxílio no preenchimento dos Modelos de Credenciamento (Instituição Financeira, Fundos de Investimentos e Prestadores de Serviço) conforme exigido pela Portaria MTP 1.467/2022, disponibilizando as informações como registro de funcionamento emitido pelo Banco Central e pela CVM e qualquer ato impeditivo emitido por estes órgãos, além do histórico dos fundos e de seus responsáveis (Administrador, Gestor e Distribuidor);</w:t>
            </w:r>
          </w:p>
        </w:tc>
        <w:tc>
          <w:tcPr>
            <w:tcW w:w="1306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</w:tr>
      <w:tr>
        <w:trPr>
          <w:trHeight w:val="1187" w:hRule="atLeast"/>
        </w:trPr>
        <w:tc>
          <w:tcPr>
            <w:tcW w:w="8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  <w:t>09</w:t>
            </w:r>
          </w:p>
        </w:tc>
        <w:tc>
          <w:tcPr>
            <w:tcW w:w="4364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PLANILHA DAIR/CADPREV E APR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Envio de uma planilha, contendo todas as informações relevantes dos fundos de investimento como: valor da cota, patrimônio líquido, enquadramento perante a Resolução CMN vigente, segmento, taxa de performance, rating, no intuito de auxiliar o preenchimento do DAIR e as APR à cada aplicação e resgate feito pelo RPPS;</w:t>
            </w:r>
          </w:p>
        </w:tc>
        <w:tc>
          <w:tcPr>
            <w:tcW w:w="1306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</w:tr>
      <w:tr>
        <w:trPr>
          <w:trHeight w:val="1187" w:hRule="atLeast"/>
        </w:trPr>
        <w:tc>
          <w:tcPr>
            <w:tcW w:w="8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  <w:t>10</w:t>
            </w:r>
          </w:p>
        </w:tc>
        <w:tc>
          <w:tcPr>
            <w:tcW w:w="4364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PARECERES AVULSOS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Analisando novos fundos de investimentos a pedido do gestor do RPPS, limitados a dois pareceres e quando houver qualquer alteração na legislação vigente dos investimentos que envolvem os RPPS e mudanças no cenário macroeconômico;</w:t>
            </w:r>
          </w:p>
        </w:tc>
        <w:tc>
          <w:tcPr>
            <w:tcW w:w="1306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</w:tr>
      <w:tr>
        <w:trPr>
          <w:trHeight w:val="1187" w:hRule="atLeast"/>
        </w:trPr>
        <w:tc>
          <w:tcPr>
            <w:tcW w:w="8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  <w:t>11</w:t>
            </w:r>
          </w:p>
        </w:tc>
        <w:tc>
          <w:tcPr>
            <w:tcW w:w="4364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DEMAIS ARQUIVOS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Solicitados pelo Tribunal de Contas Do Estado do Espírito Santo – TCEES, tais como: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sz w:val="21"/>
                <w:szCs w:val="21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color w:val="000000"/>
                <w:sz w:val="21"/>
                <w:szCs w:val="21"/>
              </w:rPr>
              <w:t>RELPOL</w:t>
            </w: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 xml:space="preserve"> – Relatório que definiu a política anual de investimentos, na forma do artigo 4º da Resolução CMN nº 4.963/2021, arquivo PDF;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sz w:val="21"/>
                <w:szCs w:val="21"/>
              </w:rPr>
            </w:pPr>
            <w:r>
              <w:rPr>
                <w:rFonts w:cs="Arial" w:ascii="Verdana" w:hAnsi="Verdana"/>
                <w:b/>
                <w:sz w:val="21"/>
                <w:szCs w:val="21"/>
              </w:rPr>
              <w:t>DEMPOL</w:t>
            </w:r>
            <w:r>
              <w:rPr>
                <w:rFonts w:cs="Arial" w:ascii="Verdana" w:hAnsi="Verdana"/>
                <w:sz w:val="21"/>
                <w:szCs w:val="21"/>
              </w:rPr>
              <w:t xml:space="preserve"> – Cópia do demonstrativo da política anual de investimentos encaminhada ao Ministério da Previdência, na forma da Resolução CMN nº 4.963/2021, arquivo PDF;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sz w:val="21"/>
                <w:szCs w:val="21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color w:val="000000"/>
                <w:sz w:val="21"/>
                <w:szCs w:val="21"/>
              </w:rPr>
              <w:t>RELRENT</w:t>
            </w: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 xml:space="preserve"> – Relatório detalhado do último trimestre do exercício financeiro, sobre a rentabilidade, os riscos das diversas modalidades de operações realizadas nas aplicações dos recursos do RPPS e a aderência à política anual de investimentos e suas revisões, evidenciando a data de submissão do mesmo às instâncias superiores de deliberação e controle, arquivo PDF.</w:t>
            </w:r>
          </w:p>
        </w:tc>
        <w:tc>
          <w:tcPr>
            <w:tcW w:w="1306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</w:tr>
      <w:tr>
        <w:trPr>
          <w:trHeight w:val="1187" w:hRule="atLeast"/>
        </w:trPr>
        <w:tc>
          <w:tcPr>
            <w:tcW w:w="8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  <w:t>12</w:t>
            </w:r>
          </w:p>
        </w:tc>
        <w:tc>
          <w:tcPr>
            <w:tcW w:w="4364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PALESTRA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A ser realizada no final do ano sem ônus algum para o RPPS, voltada aos responsáveis do Instituto e comitê de investimentos, apresentando o comportamento das aplicações financeiras no ano vigente e o seu cumprimento da Meta Atuarial e PAI-Política de Investimento do SGP-PREV;</w:t>
            </w:r>
          </w:p>
        </w:tc>
        <w:tc>
          <w:tcPr>
            <w:tcW w:w="1306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</w:tr>
      <w:tr>
        <w:trPr>
          <w:trHeight w:val="1187" w:hRule="atLeast"/>
        </w:trPr>
        <w:tc>
          <w:tcPr>
            <w:tcW w:w="8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</w:rPr>
              <w:t>13</w:t>
            </w:r>
          </w:p>
        </w:tc>
        <w:tc>
          <w:tcPr>
            <w:tcW w:w="4364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ESTUDO DE ALM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Elaboração de Estudo de Asset Liability Management (ALM) utilizando a macro alocação através da construção da Fronteira Eficiente de Markowitz e a modelagem de Cash Flow Matching, em consonância com a Resolução CMN nº 4963/2021 e as normas da Secretaria de Previdência do Ministério da Economia.</w:t>
            </w:r>
          </w:p>
        </w:tc>
        <w:tc>
          <w:tcPr>
            <w:tcW w:w="1306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SERV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Verdana" w:hAnsi="Verdana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</w:tr>
      <w:tr>
        <w:trPr>
          <w:trHeight w:val="550" w:hRule="atLeast"/>
        </w:trPr>
        <w:tc>
          <w:tcPr>
            <w:tcW w:w="998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  <w:b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total: R$…………...(por extenso)</w:t>
            </w:r>
          </w:p>
        </w:tc>
      </w:tr>
    </w:tbl>
    <w:p>
      <w:pPr>
        <w:pStyle w:val="Normal"/>
        <w:spacing w:before="0" w:after="0"/>
        <w:rPr>
          <w:rFonts w:ascii="Verdana" w:hAnsi="Verdana" w:cs="Arial"/>
          <w:b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before="0" w:after="0"/>
        <w:rPr>
          <w:rFonts w:ascii="Verdana" w:hAnsi="Verdana" w:cs="Arial"/>
          <w:b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Valor global da proposta: _____________________(                                 ).</w:t>
      </w:r>
    </w:p>
    <w:p>
      <w:pPr>
        <w:pStyle w:val="Normal"/>
        <w:spacing w:before="0" w:after="0"/>
        <w:jc w:val="center"/>
        <w:rPr>
          <w:rFonts w:ascii="Verdana" w:hAnsi="Verdana" w:cs="Arial"/>
          <w:b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>
      <w:pPr>
        <w:pStyle w:val="Textbody"/>
        <w:spacing w:lineRule="auto" w:line="276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>
      <w:pPr>
        <w:pStyle w:val="Textbody"/>
        <w:spacing w:lineRule="auto" w:line="276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>
      <w:pPr>
        <w:pStyle w:val="Textbody"/>
        <w:tabs>
          <w:tab w:val="clear" w:pos="708"/>
          <w:tab w:val="left" w:pos="644" w:leader="none"/>
        </w:tabs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Dados da Empresa: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Razão Social: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CNPJ/MF: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Endereço: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Cidade/UF: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CEP: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Tel./Fax:</w:t>
      </w:r>
    </w:p>
    <w:p>
      <w:pPr>
        <w:pStyle w:val="Textbody"/>
        <w:spacing w:lineRule="auto" w:line="276" w:before="0" w:after="0"/>
        <w:ind w:left="567" w:hanging="0"/>
        <w:jc w:val="both"/>
        <w:rPr>
          <w:rFonts w:ascii="Verdana" w:hAnsi="Verdana"/>
          <w:sz w:val="20"/>
          <w:szCs w:val="20"/>
          <w:shd w:fill="FFFF00" w:val="clear"/>
        </w:rPr>
      </w:pPr>
      <w:r>
        <w:rPr>
          <w:rFonts w:ascii="Verdana" w:hAnsi="Verdana"/>
          <w:sz w:val="20"/>
          <w:szCs w:val="20"/>
        </w:rPr>
        <w:t xml:space="preserve">E-mail: </w:t>
      </w:r>
      <w:r>
        <w:rPr>
          <w:rFonts w:ascii="Verdana" w:hAnsi="Verdana"/>
          <w:b/>
          <w:bCs/>
          <w:i/>
          <w:iCs/>
          <w:sz w:val="20"/>
          <w:szCs w:val="20"/>
          <w:shd w:fill="FFFF00" w:val="clear"/>
        </w:rPr>
        <w:t>e-mail para recebimento da Ordem de Fornecimento:</w:t>
      </w:r>
      <w:r>
        <w:rPr>
          <w:rFonts w:ascii="Verdana" w:hAnsi="Verdana"/>
          <w:sz w:val="20"/>
          <w:szCs w:val="20"/>
          <w:shd w:fill="FFFF00" w:val="clear"/>
        </w:rPr>
        <w:t xml:space="preserve"> (importante, pois é através dele que será enviado a ordem de fornecimento quando da contratação do objeto).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Banco: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Agência: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Conta: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Textbody"/>
        <w:spacing w:lineRule="auto" w:line="276" w:before="0" w:after="240"/>
        <w:ind w:left="644" w:hanging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___________, ____ de ____________ de ____.</w:t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Assinatura do Fornecedor/Carimbo</w:t>
      </w:r>
    </w:p>
    <w:sectPr>
      <w:headerReference w:type="even" r:id="rId2"/>
      <w:headerReference w:type="default" r:id="rId3"/>
      <w:headerReference w:type="first" r:id="rId4"/>
      <w:footerReference w:type="default" r:id="rId5"/>
      <w:type w:val="nextPage"/>
      <w:pgSz w:w="11906" w:h="16838"/>
      <w:pgMar w:left="1275" w:right="1274" w:gutter="0" w:header="850" w:top="1985" w:footer="408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Calibri" w:hAnsi="Calibri"/>
        <w:sz w:val="22"/>
        <w:szCs w:val="22"/>
      </w:rPr>
    </w:pPr>
    <w:r>
      <w:rPr>
        <w:sz w:val="22"/>
        <w:szCs w:val="22"/>
      </w:rPr>
      <w:t>Rua Catarina Glazar nº 166</w:t>
    </w:r>
    <w:r>
      <w:rPr>
        <w:sz w:val="22"/>
        <w:szCs w:val="22"/>
      </w:rPr>
      <w:t xml:space="preserve"> – Glória – São Gabriel da Palha – CEP 29.780-000</w:t>
    </w:r>
  </w:p>
  <w:p>
    <w:pPr>
      <w:pStyle w:val="Rodap"/>
      <w:jc w:val="center"/>
      <w:rPr/>
    </w:pPr>
    <w:r>
      <w:rPr>
        <w:rStyle w:val="Nmerodepgina"/>
        <w:rFonts w:cs="Tahoma"/>
        <w:b/>
        <w:sz w:val="22"/>
        <w:szCs w:val="22"/>
      </w:rPr>
      <w:t xml:space="preserve"> </w:t>
    </w:r>
    <w:r>
      <w:rPr>
        <w:rStyle w:val="Nmerodepgina"/>
        <w:rFonts w:cs="Tahoma"/>
        <w:b/>
        <w:sz w:val="22"/>
        <w:szCs w:val="22"/>
      </w:rPr>
      <w:t xml:space="preserve">Telefone: (27) 3727-1697 - CNPJ 05.251.479/0001-52 E-mail:  </w:t>
    </w:r>
    <w:hyperlink r:id="rId1">
      <w:r>
        <w:rPr>
          <w:rStyle w:val="LinkdaInternet"/>
          <w:rFonts w:cs="Tahoma"/>
          <w:b/>
          <w:sz w:val="22"/>
          <w:szCs w:val="22"/>
        </w:rPr>
        <w:t>saogabrielprev@gmail.com</w:t>
      </w:r>
    </w:hyperlink>
    <w:r>
      <w:rPr>
        <w:rStyle w:val="Nmerodepgina"/>
        <w:rFonts w:cs="Tahoma"/>
        <w:b/>
        <w:sz w:val="22"/>
        <w:szCs w:val="22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2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3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ec7082"/>
    <w:rPr/>
  </w:style>
  <w:style w:type="character" w:styleId="RodapChar" w:customStyle="1">
    <w:name w:val="Rodapé Char"/>
    <w:basedOn w:val="DefaultParagraphFont"/>
    <w:uiPriority w:val="99"/>
    <w:qFormat/>
    <w:rsid w:val="00ec7082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styleId="Ttulo1Char" w:customStyle="1">
    <w:name w:val="Título 1 Char"/>
    <w:basedOn w:val="DefaultParagraphFont"/>
    <w:uiPriority w:val="9"/>
    <w:qFormat/>
    <w:rsid w:val="00ce4888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PargrafodaListaChar" w:customStyle="1">
    <w:name w:val="Parágrafo da Lista Char"/>
    <w:link w:val="ListParagraph"/>
    <w:uiPriority w:val="34"/>
    <w:qFormat/>
    <w:locked/>
    <w:rsid w:val="00004b0d"/>
    <w:rPr/>
  </w:style>
  <w:style w:type="character" w:styleId="RecuodecorpodetextoChar" w:customStyle="1">
    <w:name w:val="Recuo de corpo de texto Char"/>
    <w:basedOn w:val="DefaultParagraphFont"/>
    <w:uiPriority w:val="99"/>
    <w:qFormat/>
    <w:rsid w:val="00004b0d"/>
    <w:rPr/>
  </w:style>
  <w:style w:type="character" w:styleId="CorpodetextoChar" w:customStyle="1">
    <w:name w:val="Corpo de texto Char"/>
    <w:basedOn w:val="DefaultParagraphFont"/>
    <w:link w:val="Textbody"/>
    <w:uiPriority w:val="99"/>
    <w:semiHidden/>
    <w:qFormat/>
    <w:rsid w:val="00fb7731"/>
    <w:rPr/>
  </w:style>
  <w:style w:type="character" w:styleId="LinkdaInternet">
    <w:name w:val="Hyperlink"/>
    <w:basedOn w:val="DefaultParagraphFont"/>
    <w:uiPriority w:val="99"/>
    <w:unhideWhenUsed/>
    <w:rsid w:val="00f158c3"/>
    <w:rPr>
      <w:color w:val="0000FF" w:themeColor="hyperlink"/>
      <w:u w:val="single"/>
    </w:rPr>
  </w:style>
  <w:style w:type="character" w:styleId="Fontepargpadro1">
    <w:name w:val="Fonte parág. padrão1"/>
    <w:qFormat/>
    <w:rPr/>
  </w:style>
  <w:style w:type="character" w:styleId="Nmerodepgina">
    <w:name w:val="Page Number"/>
    <w:basedOn w:val="Fontepargpadro1"/>
    <w:rPr/>
  </w:style>
  <w:style w:type="character" w:styleId="Linkdainternetvisitado">
    <w:name w:val="FollowedHyperlink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99"/>
    <w:semiHidden/>
    <w:unhideWhenUsed/>
    <w:rsid w:val="00fb7731"/>
    <w:pPr>
      <w:spacing w:before="0" w:after="12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c708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PargrafodaListaChar"/>
    <w:uiPriority w:val="34"/>
    <w:qFormat/>
    <w:rsid w:val="00c14f13"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e17e4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tandard" w:customStyle="1">
    <w:name w:val="Standard"/>
    <w:qFormat/>
    <w:rsid w:val="0086320d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link w:val="CorpodetextoChar"/>
    <w:qFormat/>
    <w:rsid w:val="0086320d"/>
    <w:pPr>
      <w:spacing w:lineRule="auto" w:line="288" w:before="0" w:after="140"/>
    </w:pPr>
    <w:rPr/>
  </w:style>
  <w:style w:type="paragraph" w:styleId="AvisoClusulaPrincipal" w:customStyle="1">
    <w:name w:val="Aviso - Cláusula Principal"/>
    <w:basedOn w:val="Ttulo1"/>
    <w:qFormat/>
    <w:rsid w:val="00ce4888"/>
    <w:pPr>
      <w:snapToGrid w:val="false"/>
      <w:spacing w:lineRule="auto" w:line="360" w:before="240" w:after="240"/>
      <w:ind w:right="-30" w:hanging="0"/>
      <w:jc w:val="both"/>
    </w:pPr>
    <w:rPr>
      <w:rFonts w:ascii="Arial" w:hAnsi="Arial" w:eastAsia="Times New Roman" w:cs="Arial"/>
      <w:b/>
      <w:color w:val="000000"/>
      <w:sz w:val="24"/>
      <w:szCs w:val="24"/>
      <w:lang w:eastAsia="pt-BR"/>
    </w:rPr>
  </w:style>
  <w:style w:type="paragraph" w:styleId="Corpodotextorecuado">
    <w:name w:val="Body Text Indent"/>
    <w:basedOn w:val="Normal"/>
    <w:link w:val="RecuodecorpodetextoChar"/>
    <w:uiPriority w:val="99"/>
    <w:unhideWhenUsed/>
    <w:rsid w:val="00004b0d"/>
    <w:pPr>
      <w:spacing w:lineRule="auto" w:line="259" w:before="0" w:after="120"/>
      <w:ind w:left="283" w:hanging="0"/>
    </w:pPr>
    <w:rPr/>
  </w:style>
  <w:style w:type="paragraph" w:styleId="Contedodatabela" w:customStyle="1">
    <w:name w:val="Conteúdo da tabela"/>
    <w:basedOn w:val="Normal"/>
    <w:qFormat/>
    <w:rsid w:val="00896f64"/>
    <w:pPr>
      <w:suppressLineNumbers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Calibri" w:cs="Calibri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  <w:rsid w:val="0086320d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45277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Application>LibreOffice/7.4.4.2$Windows_X86_64 LibreOffice_project/85569322deea74ec9134968a29af2df5663baa21</Application>
  <AppVersion>15.0000</AppVersion>
  <Pages>6</Pages>
  <Words>1051</Words>
  <Characters>6073</Characters>
  <CharactersWithSpaces>7065</CharactersWithSpaces>
  <Paragraphs>107</Paragraphs>
  <Company>TCE-ES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2024-02-06T14:35:00Z</dcterms:created>
  <dc:creator>TCE-ES</dc:creator>
  <dc:description/>
  <dc:language>pt-BR</dc:language>
  <cp:lastModifiedBy/>
  <cp:lastPrinted>2024-10-30T16:15:27Z</cp:lastPrinted>
  <dcterms:modified xsi:type="dcterms:W3CDTF">2024-11-26T14:53:50Z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